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23C2" w14:textId="3CD65993" w:rsidR="007A3663" w:rsidRDefault="007A3663" w:rsidP="007A3663">
      <w:pPr>
        <w:pStyle w:val="TableofContentsHeading"/>
        <w:jc w:val="left"/>
        <w:rPr>
          <w:lang w:val="en-US" w:eastAsia="zh-CN"/>
        </w:rPr>
      </w:pPr>
      <w:r>
        <w:rPr>
          <w:lang w:val="en-US" w:eastAsia="zh-CN"/>
        </w:rPr>
        <w:t>Annex II D</w:t>
      </w:r>
    </w:p>
    <w:p w14:paraId="45FA4622" w14:textId="77777777" w:rsidR="007A3663" w:rsidRDefault="007A3663" w:rsidP="00543E68">
      <w:pPr>
        <w:pStyle w:val="TableofContentsHeading"/>
        <w:jc w:val="center"/>
        <w:rPr>
          <w:lang w:val="en-US" w:eastAsia="zh-CN"/>
        </w:rPr>
      </w:pPr>
    </w:p>
    <w:p w14:paraId="45B4D257" w14:textId="15D5CBDB" w:rsidR="004D63FC" w:rsidRDefault="00543E68" w:rsidP="00543E68">
      <w:pPr>
        <w:pStyle w:val="TableofContentsHeading"/>
        <w:jc w:val="center"/>
        <w:rPr>
          <w:lang w:val="en-US" w:eastAsia="zh-CN"/>
        </w:rPr>
      </w:pPr>
      <w:r w:rsidRPr="00543E68">
        <w:rPr>
          <w:lang w:val="en-US" w:eastAsia="zh-CN"/>
        </w:rPr>
        <w:t>Recommended practices for</w:t>
      </w:r>
      <w:r w:rsidR="004D63FC">
        <w:rPr>
          <w:lang w:val="en-US" w:eastAsia="zh-CN"/>
        </w:rPr>
        <w:br/>
      </w:r>
      <w:r w:rsidRPr="00543E68">
        <w:rPr>
          <w:lang w:val="en-US" w:eastAsia="zh-CN"/>
        </w:rPr>
        <w:t>coordination and collaboration</w:t>
      </w:r>
    </w:p>
    <w:p w14:paraId="6E4EAA0F" w14:textId="32D58DFC" w:rsidR="00543E68" w:rsidRDefault="00543E68" w:rsidP="00543E68">
      <w:pPr>
        <w:pStyle w:val="TableofContentsHeading"/>
        <w:jc w:val="center"/>
        <w:rPr>
          <w:lang w:val="en-US" w:eastAsia="zh-CN"/>
        </w:rPr>
      </w:pPr>
      <w:r w:rsidRPr="00543E68">
        <w:rPr>
          <w:lang w:val="en-US" w:eastAsia="zh-CN"/>
        </w:rPr>
        <w:t>between SOFF peer advisors and RWC</w:t>
      </w:r>
    </w:p>
    <w:p w14:paraId="09DF2088" w14:textId="77777777" w:rsidR="00543E68" w:rsidRPr="00543E68" w:rsidRDefault="00543E68" w:rsidP="00543E68">
      <w:pPr>
        <w:pStyle w:val="TableofContentsHeading"/>
        <w:jc w:val="center"/>
        <w:rPr>
          <w:lang w:val="en-US" w:eastAsia="zh-CN"/>
        </w:rPr>
      </w:pPr>
    </w:p>
    <w:p w14:paraId="35D6D1DE" w14:textId="77777777" w:rsidR="00543E68" w:rsidRPr="00543E68" w:rsidRDefault="00543E68" w:rsidP="00543E68">
      <w:pPr>
        <w:rPr>
          <w:lang w:val="en-US" w:eastAsia="zh-CN"/>
        </w:rPr>
      </w:pPr>
      <w:r w:rsidRPr="00543E68">
        <w:rPr>
          <w:lang w:val="en-US" w:eastAsia="zh-CN"/>
        </w:rPr>
        <w:t xml:space="preserve">Regional WIGOS Centers (RWC) play a critical role in advancing the implementation of WIGOS within their region or subregion, providing regional coordination and technical support to WMO Members. The primary, mandatory functions of RWC are to support WMO Members with the management of metadata in OSCAR/Surface and to assist with following up on quality issues identified via the WIGOS Data Quality Monitoring System (WDQMS), including for GBON stations. </w:t>
      </w:r>
    </w:p>
    <w:p w14:paraId="0D3E03EC" w14:textId="77777777" w:rsidR="00543E68" w:rsidRPr="00543E68" w:rsidRDefault="00543E68" w:rsidP="00543E68">
      <w:pPr>
        <w:rPr>
          <w:lang w:val="en-US" w:eastAsia="zh-CN"/>
        </w:rPr>
      </w:pPr>
      <w:r w:rsidRPr="00543E68">
        <w:rPr>
          <w:lang w:val="en-US" w:eastAsia="zh-CN"/>
        </w:rPr>
        <w:t>RWC may also contribute to the coordination of regional projects and support regional capacity development. The mandatory and optional functions can be seen on the image below:</w:t>
      </w:r>
    </w:p>
    <w:p w14:paraId="54FC8538" w14:textId="77777777" w:rsidR="00543E68" w:rsidRDefault="00543E68" w:rsidP="00543E68">
      <w:pPr>
        <w:keepNext/>
        <w:spacing w:line="276" w:lineRule="auto"/>
        <w:jc w:val="center"/>
      </w:pPr>
      <w:r w:rsidRPr="00543E68">
        <w:rPr>
          <w:rFonts w:ascii="Calibri" w:eastAsia="DengXian" w:hAnsi="Calibri" w:cs="Arial"/>
          <w:noProof/>
          <w:szCs w:val="22"/>
          <w:lang w:val="fr-CH" w:eastAsia="zh-CN"/>
        </w:rPr>
        <w:drawing>
          <wp:inline distT="0" distB="0" distL="0" distR="0" wp14:anchorId="0AE0B286" wp14:editId="692D66EA">
            <wp:extent cx="4215555" cy="3372443"/>
            <wp:effectExtent l="0" t="0" r="0" b="0"/>
            <wp:docPr id="1478042943" name="Picture 147804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221627" cy="3377301"/>
                    </a:xfrm>
                    <a:prstGeom prst="rect">
                      <a:avLst/>
                    </a:prstGeom>
                  </pic:spPr>
                </pic:pic>
              </a:graphicData>
            </a:graphic>
          </wp:inline>
        </w:drawing>
      </w:r>
    </w:p>
    <w:p w14:paraId="1F293925" w14:textId="0B0EEFFB" w:rsidR="00543E68" w:rsidRPr="00543E68" w:rsidRDefault="00543E68" w:rsidP="1C9429DF">
      <w:pPr>
        <w:pStyle w:val="Caption"/>
        <w:jc w:val="center"/>
        <w:rPr>
          <w:rFonts w:ascii="Calibri" w:eastAsia="DengXian" w:hAnsi="Calibri" w:cs="Arial"/>
          <w:lang w:val="fr-CH" w:eastAsia="zh-CN"/>
        </w:rPr>
      </w:pPr>
      <w:r w:rsidRPr="1C9429DF">
        <w:rPr>
          <w:b/>
          <w:bCs/>
        </w:rPr>
        <w:t xml:space="preserve">Figure </w:t>
      </w:r>
      <w:r w:rsidRPr="1C9429DF">
        <w:rPr>
          <w:b/>
          <w:bCs/>
        </w:rPr>
        <w:fldChar w:fldCharType="begin"/>
      </w:r>
      <w:r w:rsidRPr="1C9429DF">
        <w:rPr>
          <w:b/>
          <w:bCs/>
        </w:rPr>
        <w:instrText xml:space="preserve"> SEQ Figure \* ARABIC </w:instrText>
      </w:r>
      <w:r w:rsidRPr="1C9429DF">
        <w:rPr>
          <w:b/>
          <w:bCs/>
        </w:rPr>
        <w:fldChar w:fldCharType="separate"/>
      </w:r>
      <w:r w:rsidRPr="1C9429DF">
        <w:rPr>
          <w:b/>
          <w:bCs/>
          <w:noProof/>
        </w:rPr>
        <w:t>1</w:t>
      </w:r>
      <w:r w:rsidRPr="1C9429DF">
        <w:rPr>
          <w:b/>
          <w:bCs/>
        </w:rPr>
        <w:fldChar w:fldCharType="end"/>
      </w:r>
      <w:r w:rsidRPr="1C9429DF">
        <w:rPr>
          <w:b/>
          <w:bCs/>
        </w:rPr>
        <w:t>.</w:t>
      </w:r>
      <w:r>
        <w:t xml:space="preserve"> </w:t>
      </w:r>
      <w:r w:rsidR="60A3F9B6">
        <w:t>Mandatory and optional functions of RWC</w:t>
      </w:r>
    </w:p>
    <w:p w14:paraId="0B821411" w14:textId="77777777" w:rsidR="00543E68" w:rsidRPr="00543E68" w:rsidRDefault="00543E68" w:rsidP="00543E68">
      <w:pPr>
        <w:rPr>
          <w:lang w:val="en-US" w:eastAsia="zh-CN"/>
        </w:rPr>
      </w:pPr>
      <w:r w:rsidRPr="00543E68">
        <w:rPr>
          <w:lang w:val="en-US" w:eastAsia="zh-CN"/>
        </w:rPr>
        <w:t xml:space="preserve">The document outlines the roles, responsibility and envisioned coordination between RWC and SOFF peer advisors and operational partners in the implementation of SOFF Investments. It is crucial that RWC and peer advisors collaborate closely and regularly to ensure GBON implementation in SOFF countries in an efficient and coordinated way. This </w:t>
      </w:r>
      <w:r w:rsidRPr="00543E68">
        <w:rPr>
          <w:lang w:val="en-US" w:eastAsia="zh-CN"/>
        </w:rPr>
        <w:lastRenderedPageBreak/>
        <w:t>collaboration should be consistent and tailored to the specific needs of the countries. SOFF peer advisors and RWCs are recommended to implement the following collaboration practices:</w:t>
      </w:r>
    </w:p>
    <w:p w14:paraId="18487891" w14:textId="77777777" w:rsidR="00543E68" w:rsidRPr="00543E68" w:rsidRDefault="00543E68" w:rsidP="00543E68">
      <w:pPr>
        <w:pStyle w:val="Heading1"/>
        <w:rPr>
          <w:rFonts w:eastAsia="DengXian Light"/>
          <w:lang w:val="en-US" w:eastAsia="zh-CN"/>
        </w:rPr>
      </w:pPr>
      <w:r w:rsidRPr="00543E68">
        <w:rPr>
          <w:rFonts w:eastAsia="DengXian Light"/>
          <w:lang w:val="en-US" w:eastAsia="zh-CN"/>
        </w:rPr>
        <w:t>Collaboration during the readiness phase</w:t>
      </w:r>
    </w:p>
    <w:p w14:paraId="2F46027B" w14:textId="77777777" w:rsidR="00543E68" w:rsidRPr="00543E68" w:rsidRDefault="00543E68" w:rsidP="00543E68">
      <w:pPr>
        <w:pStyle w:val="ListParagraph"/>
        <w:rPr>
          <w:rFonts w:ascii="Calibri" w:eastAsia="DengXian" w:hAnsi="Calibri" w:cs="Arial"/>
          <w:lang w:val="en-US" w:eastAsia="zh-CN"/>
        </w:rPr>
      </w:pPr>
      <w:r w:rsidRPr="00543E68">
        <w:rPr>
          <w:lang w:val="en-US" w:eastAsia="zh-CN"/>
        </w:rPr>
        <w:t xml:space="preserve">SOFF peer advisors should first consult with the country to identify if the country has been affiliated with one the RWC. List of RWCs and their affiliated countries can be seen here: </w:t>
      </w:r>
      <w:hyperlink r:id="rId12">
        <w:r w:rsidRPr="00543E68">
          <w:rPr>
            <w:rFonts w:eastAsia="DengXian" w:cs="Open Sans"/>
            <w:color w:val="0000FF"/>
            <w:u w:val="single"/>
            <w:lang w:val="en-US" w:eastAsia="zh-CN"/>
          </w:rPr>
          <w:t>Existing RWC by WMO Region | World Meteorological Organization</w:t>
        </w:r>
      </w:hyperlink>
      <w:r w:rsidRPr="00543E68">
        <w:rPr>
          <w:lang w:val="en-US" w:eastAsia="zh-CN"/>
        </w:rPr>
        <w:t xml:space="preserve">. SOFF peer advisors should contact the respective RWC, in coordination with WMO/SOFF Secretariat and Regional Associations coordinator for infrastructure, towards exchanging information and plan. For WMO Secretariat, please reach out to </w:t>
      </w:r>
      <w:hyperlink r:id="rId13">
        <w:r w:rsidRPr="00543E68">
          <w:rPr>
            <w:color w:val="0000FF"/>
            <w:u w:val="single"/>
            <w:lang w:val="en-US" w:eastAsia="zh-CN"/>
          </w:rPr>
          <w:t>wdqms-ims@wmo.int</w:t>
        </w:r>
      </w:hyperlink>
      <w:r w:rsidRPr="00543E68">
        <w:rPr>
          <w:lang w:val="en-US" w:eastAsia="zh-CN"/>
        </w:rPr>
        <w:t xml:space="preserve"> </w:t>
      </w:r>
    </w:p>
    <w:p w14:paraId="2BD9FE2E" w14:textId="77777777" w:rsidR="00543E68" w:rsidRPr="00543E68" w:rsidRDefault="00543E68" w:rsidP="00543E68">
      <w:pPr>
        <w:pStyle w:val="ListParagraph"/>
        <w:rPr>
          <w:rFonts w:eastAsia="Times New Roman"/>
          <w:lang w:val="en-US" w:eastAsia="zh-CN"/>
        </w:rPr>
      </w:pPr>
      <w:r w:rsidRPr="00543E68">
        <w:rPr>
          <w:lang w:val="en-US" w:eastAsia="zh-CN"/>
        </w:rPr>
        <w:t xml:space="preserve">If the country is not yet affiliated to an RWC, the peer advisor should evaluate which RWCs may prove suitable and liaise with </w:t>
      </w:r>
      <w:proofErr w:type="gramStart"/>
      <w:r w:rsidRPr="00543E68">
        <w:rPr>
          <w:lang w:val="en-US" w:eastAsia="zh-CN"/>
        </w:rPr>
        <w:t>the  country</w:t>
      </w:r>
      <w:proofErr w:type="gramEnd"/>
      <w:r w:rsidRPr="00543E68">
        <w:rPr>
          <w:lang w:val="en-US" w:eastAsia="zh-CN"/>
        </w:rPr>
        <w:t xml:space="preserve"> to support their affiliation process.</w:t>
      </w:r>
    </w:p>
    <w:p w14:paraId="64F8E7DA" w14:textId="77777777" w:rsidR="00543E68" w:rsidRPr="00543E68" w:rsidRDefault="00543E68" w:rsidP="00543E68">
      <w:pPr>
        <w:pStyle w:val="ListParagraph"/>
        <w:rPr>
          <w:rFonts w:eastAsia="DengXian"/>
          <w:lang w:val="en-US" w:eastAsia="zh-CN"/>
        </w:rPr>
      </w:pPr>
      <w:r w:rsidRPr="00543E68">
        <w:rPr>
          <w:lang w:val="en-US" w:eastAsia="zh-CN"/>
        </w:rPr>
        <w:t xml:space="preserve">The SOFF peer advisor should provide the delivery timeline for readiness phase outputs of the country, while the </w:t>
      </w:r>
      <w:r w:rsidRPr="00543E68">
        <w:rPr>
          <w:rFonts w:eastAsia="DengXian"/>
          <w:lang w:val="en-US" w:eastAsia="zh-CN"/>
        </w:rPr>
        <w:t>RWC should provide input to the SOFF peer advisors on observation networks in the country, such as:</w:t>
      </w:r>
    </w:p>
    <w:p w14:paraId="3BE3786D" w14:textId="77777777" w:rsidR="00543E68" w:rsidRPr="00543E68" w:rsidRDefault="00543E68" w:rsidP="00543E68">
      <w:pPr>
        <w:pStyle w:val="ListParagraph"/>
        <w:numPr>
          <w:ilvl w:val="1"/>
          <w:numId w:val="16"/>
        </w:numPr>
        <w:rPr>
          <w:lang w:val="en-US" w:eastAsia="zh-CN"/>
        </w:rPr>
      </w:pPr>
      <w:r w:rsidRPr="00543E68">
        <w:rPr>
          <w:lang w:val="en-US" w:eastAsia="zh-CN"/>
        </w:rPr>
        <w:t>An overview of the status of relevant human capacity, including, National Focal Point (NFP) for WIGOS, OSCAR/Surface, and WDQMS, if known.</w:t>
      </w:r>
    </w:p>
    <w:p w14:paraId="208FCC76" w14:textId="77777777" w:rsidR="00543E68" w:rsidRPr="00543E68" w:rsidRDefault="00543E68" w:rsidP="00543E68">
      <w:pPr>
        <w:pStyle w:val="ListParagraph"/>
        <w:numPr>
          <w:ilvl w:val="1"/>
          <w:numId w:val="16"/>
        </w:numPr>
        <w:rPr>
          <w:lang w:val="en-US" w:eastAsia="zh-CN"/>
        </w:rPr>
      </w:pPr>
      <w:r w:rsidRPr="00543E68">
        <w:rPr>
          <w:lang w:val="en-US" w:eastAsia="zh-CN"/>
        </w:rPr>
        <w:t>A status overview of the observational data and metadata performance, based on their regular reporting, in the context of RWC guidance.</w:t>
      </w:r>
    </w:p>
    <w:p w14:paraId="47A37CB2" w14:textId="77777777" w:rsidR="00543E68" w:rsidRPr="00543E68" w:rsidRDefault="00543E68" w:rsidP="00543E68">
      <w:pPr>
        <w:pStyle w:val="ListParagraph"/>
        <w:numPr>
          <w:ilvl w:val="1"/>
          <w:numId w:val="16"/>
        </w:numPr>
        <w:rPr>
          <w:lang w:val="en-US" w:eastAsia="zh-CN"/>
        </w:rPr>
      </w:pPr>
      <w:r w:rsidRPr="00543E68">
        <w:rPr>
          <w:lang w:val="en-US" w:eastAsia="zh-CN"/>
        </w:rPr>
        <w:t>Capacity development activities ongoing/planned, including any training provided/planned by the RWC to the country, and the list of staff that participated in previous training activities, and the list of staff that participated in previous training activities.</w:t>
      </w:r>
    </w:p>
    <w:p w14:paraId="65F38A7C" w14:textId="77777777" w:rsidR="00543E68" w:rsidRPr="00543E68" w:rsidRDefault="00543E68" w:rsidP="00543E68">
      <w:pPr>
        <w:pStyle w:val="ListParagraph"/>
        <w:numPr>
          <w:ilvl w:val="1"/>
          <w:numId w:val="16"/>
        </w:numPr>
        <w:rPr>
          <w:lang w:val="en-US" w:eastAsia="zh-CN"/>
        </w:rPr>
      </w:pPr>
      <w:r w:rsidRPr="00543E68">
        <w:rPr>
          <w:lang w:val="en-US" w:eastAsia="zh-CN"/>
        </w:rPr>
        <w:t xml:space="preserve">Other complementary information available at the RWC. </w:t>
      </w:r>
    </w:p>
    <w:p w14:paraId="4B149E5F" w14:textId="77777777" w:rsidR="00543E68" w:rsidRPr="00543E68" w:rsidRDefault="00543E68" w:rsidP="00543E68">
      <w:pPr>
        <w:pStyle w:val="ListParagraph"/>
        <w:rPr>
          <w:lang w:val="en-US" w:eastAsia="zh-CN"/>
        </w:rPr>
      </w:pPr>
      <w:r w:rsidRPr="00543E68">
        <w:rPr>
          <w:lang w:val="en-US" w:eastAsia="zh-CN"/>
        </w:rPr>
        <w:t>All information provided by the RWC should be considered by peer advisor when drafting GBON National Contribution Plan.</w:t>
      </w:r>
    </w:p>
    <w:p w14:paraId="710C8EDB" w14:textId="77777777" w:rsidR="00543E68" w:rsidRPr="00543E68" w:rsidRDefault="00543E68" w:rsidP="00543E68">
      <w:pPr>
        <w:pStyle w:val="ListParagraph"/>
        <w:rPr>
          <w:lang w:val="en-US" w:eastAsia="zh-CN"/>
        </w:rPr>
      </w:pPr>
      <w:r w:rsidRPr="00543E68">
        <w:rPr>
          <w:lang w:val="en-US" w:eastAsia="zh-CN"/>
        </w:rPr>
        <w:t xml:space="preserve">During the readiness phase, peer advisors and RWC are highly encouraged to synergize by working together to resolve any easy fix issues in the countries, such as: </w:t>
      </w:r>
    </w:p>
    <w:p w14:paraId="09D15A6D" w14:textId="77777777" w:rsidR="00543E68" w:rsidRPr="00543E68" w:rsidRDefault="00543E68" w:rsidP="00543E68">
      <w:pPr>
        <w:pStyle w:val="ListParagraph"/>
        <w:numPr>
          <w:ilvl w:val="1"/>
          <w:numId w:val="15"/>
        </w:numPr>
        <w:rPr>
          <w:rFonts w:ascii="Calibri" w:eastAsia="DengXian" w:hAnsi="Calibri" w:cs="Arial"/>
          <w:lang w:val="en-US" w:eastAsia="zh-CN"/>
        </w:rPr>
      </w:pPr>
      <w:r w:rsidRPr="00543E68">
        <w:rPr>
          <w:lang w:val="en-US" w:eastAsia="zh-CN"/>
        </w:rPr>
        <w:t>Registering and improving GBON stations metadata in OSCAR/Surface.</w:t>
      </w:r>
    </w:p>
    <w:p w14:paraId="3F86CC9B" w14:textId="77777777" w:rsidR="00543E68" w:rsidRPr="00543E68" w:rsidRDefault="00543E68" w:rsidP="00543E68">
      <w:pPr>
        <w:pStyle w:val="ListParagraph"/>
        <w:numPr>
          <w:ilvl w:val="1"/>
          <w:numId w:val="15"/>
        </w:numPr>
        <w:rPr>
          <w:lang w:val="en-US" w:eastAsia="zh-CN"/>
        </w:rPr>
      </w:pPr>
      <w:r w:rsidRPr="00543E68">
        <w:rPr>
          <w:lang w:val="en-US" w:eastAsia="zh-CN"/>
        </w:rPr>
        <w:t>Evaluating data availability and the quality of existing GBON stations.</w:t>
      </w:r>
    </w:p>
    <w:p w14:paraId="31643B50" w14:textId="77777777" w:rsidR="00543E68" w:rsidRPr="00543E68" w:rsidRDefault="00543E68" w:rsidP="00543E68">
      <w:pPr>
        <w:pStyle w:val="ListParagraph"/>
        <w:numPr>
          <w:ilvl w:val="1"/>
          <w:numId w:val="15"/>
        </w:numPr>
        <w:rPr>
          <w:lang w:val="en-US" w:eastAsia="zh-CN"/>
        </w:rPr>
      </w:pPr>
      <w:r w:rsidRPr="00543E68">
        <w:rPr>
          <w:lang w:val="en-US" w:eastAsia="zh-CN"/>
        </w:rPr>
        <w:t>Nominating the NFP for WIGOS, OSCAR/Surface and WDQMS.</w:t>
      </w:r>
    </w:p>
    <w:p w14:paraId="6D444034" w14:textId="77777777" w:rsidR="00543E68" w:rsidRPr="00543E68" w:rsidRDefault="00543E68" w:rsidP="00543E68">
      <w:pPr>
        <w:pStyle w:val="ListParagraph"/>
        <w:rPr>
          <w:lang w:val="en-US" w:eastAsia="zh-CN"/>
        </w:rPr>
      </w:pPr>
      <w:r w:rsidRPr="00543E68">
        <w:rPr>
          <w:lang w:val="en-US" w:eastAsia="zh-CN"/>
        </w:rPr>
        <w:lastRenderedPageBreak/>
        <w:t>SOFF peer advisors might attend regional capacity development activities for WMO Members hosted by WMO or RWC to get familiar with RWC operations and WIGOS Tools.</w:t>
      </w:r>
    </w:p>
    <w:p w14:paraId="6E600A6B" w14:textId="77777777" w:rsidR="00543E68" w:rsidRPr="00543E68" w:rsidRDefault="00543E68" w:rsidP="00543E68">
      <w:pPr>
        <w:pStyle w:val="ListParagraph"/>
        <w:rPr>
          <w:lang w:val="en-US" w:eastAsia="zh-CN"/>
        </w:rPr>
      </w:pPr>
      <w:r w:rsidRPr="00543E68">
        <w:rPr>
          <w:lang w:val="en-US" w:eastAsia="zh-CN"/>
        </w:rPr>
        <w:t>SOFF peer advisors might request RWC’s assistance in establishing linkages with the WIS centers, Regional Instrument Centers (RIC) and Regional Training Centers (RTC) in the region.</w:t>
      </w:r>
    </w:p>
    <w:p w14:paraId="757C8AB4" w14:textId="77777777" w:rsidR="00543E68" w:rsidRPr="00543E68" w:rsidRDefault="00543E68" w:rsidP="00FC74CA">
      <w:pPr>
        <w:pStyle w:val="Heading1"/>
        <w:rPr>
          <w:rFonts w:eastAsia="DengXian Light"/>
          <w:lang w:val="en-US" w:eastAsia="zh-CN"/>
        </w:rPr>
      </w:pPr>
      <w:r w:rsidRPr="00543E68">
        <w:rPr>
          <w:rFonts w:eastAsia="DengXian Light"/>
          <w:lang w:val="en-US" w:eastAsia="zh-CN"/>
        </w:rPr>
        <w:t>Collaboration during the Investment phase</w:t>
      </w:r>
    </w:p>
    <w:p w14:paraId="45E20185" w14:textId="77777777" w:rsidR="00543E68" w:rsidRPr="00543E68" w:rsidRDefault="00543E68" w:rsidP="00FC74CA">
      <w:pPr>
        <w:rPr>
          <w:lang w:val="en-US" w:eastAsia="zh-CN"/>
        </w:rPr>
      </w:pPr>
      <w:r w:rsidRPr="00543E68">
        <w:rPr>
          <w:lang w:val="en-US" w:eastAsia="zh-CN"/>
        </w:rPr>
        <w:t>The collaboration during the investment phase is based on the SOFF Investment outputs, namely GBON infrastructure in place and GBON human and capacity developed. The collaboration includes:</w:t>
      </w:r>
    </w:p>
    <w:p w14:paraId="0A6114F9" w14:textId="77777777" w:rsidR="00543E68" w:rsidRPr="00543E68" w:rsidRDefault="00543E68" w:rsidP="00FC74CA">
      <w:pPr>
        <w:pStyle w:val="ListParagraph"/>
        <w:rPr>
          <w:lang w:val="en-US" w:eastAsia="zh-CN"/>
        </w:rPr>
      </w:pPr>
      <w:r w:rsidRPr="00543E68">
        <w:rPr>
          <w:lang w:val="en-US" w:eastAsia="zh-CN"/>
        </w:rPr>
        <w:t>During the development of the investment proposals, peer advisors should consider the roles for RWC when identifying peer advisory services included in the SOFF investment proposal.</w:t>
      </w:r>
    </w:p>
    <w:p w14:paraId="496E5D23" w14:textId="77777777" w:rsidR="00543E68" w:rsidRPr="00543E68" w:rsidRDefault="00543E68" w:rsidP="00FC74CA">
      <w:pPr>
        <w:pStyle w:val="ListParagraph"/>
        <w:rPr>
          <w:lang w:val="en-US" w:eastAsia="zh-CN"/>
        </w:rPr>
      </w:pPr>
      <w:r w:rsidRPr="00543E68">
        <w:rPr>
          <w:lang w:val="en-US" w:eastAsia="zh-CN"/>
        </w:rPr>
        <w:t>Peer advisors and RWCs should collaborate in providing training and technical assistance to countries, especially those related to OSCAR/Surface, the WDQMS webtool and Incident Management System. SOFF peer advisors might request RWC to provide training for SOFF countries on those subjects.</w:t>
      </w:r>
    </w:p>
    <w:p w14:paraId="29F7E8E6" w14:textId="77777777" w:rsidR="00543E68" w:rsidRPr="00543E68" w:rsidRDefault="00543E68" w:rsidP="00FC74CA">
      <w:pPr>
        <w:pStyle w:val="ListParagraph"/>
        <w:rPr>
          <w:rFonts w:ascii="Calibri" w:eastAsia="DengXian" w:hAnsi="Calibri" w:cs="Arial"/>
          <w:lang w:val="en-US" w:eastAsia="zh-CN"/>
        </w:rPr>
      </w:pPr>
      <w:r w:rsidRPr="00543E68">
        <w:rPr>
          <w:lang w:val="en-US" w:eastAsia="zh-CN"/>
        </w:rPr>
        <w:t>Peer advisors should support SOFF countries in following up on relevant data/metadata performance issues on GBON stations. This includes but not limited to:</w:t>
      </w:r>
    </w:p>
    <w:p w14:paraId="26AE8996" w14:textId="77777777" w:rsidR="00543E68" w:rsidRPr="00543E68" w:rsidRDefault="00543E68" w:rsidP="00FC74CA">
      <w:pPr>
        <w:pStyle w:val="ListParagraph"/>
        <w:numPr>
          <w:ilvl w:val="1"/>
          <w:numId w:val="15"/>
        </w:numPr>
        <w:rPr>
          <w:rFonts w:ascii="Calibri" w:eastAsia="DengXian" w:hAnsi="Calibri" w:cs="Arial"/>
          <w:lang w:val="en-US" w:eastAsia="zh-CN"/>
        </w:rPr>
      </w:pPr>
      <w:r w:rsidRPr="00543E68">
        <w:rPr>
          <w:lang w:val="en-US" w:eastAsia="zh-CN"/>
        </w:rPr>
        <w:t>Registering and improving GBON stations metadata in OSCAR/Surface.</w:t>
      </w:r>
    </w:p>
    <w:p w14:paraId="10E104A7" w14:textId="77777777" w:rsidR="00543E68" w:rsidRPr="00543E68" w:rsidRDefault="00543E68" w:rsidP="00FC74CA">
      <w:pPr>
        <w:pStyle w:val="ListParagraph"/>
        <w:numPr>
          <w:ilvl w:val="1"/>
          <w:numId w:val="15"/>
        </w:numPr>
        <w:rPr>
          <w:rFonts w:ascii="Calibri" w:eastAsia="DengXian" w:hAnsi="Calibri" w:cs="Arial"/>
          <w:lang w:val="en-US" w:eastAsia="zh-CN"/>
        </w:rPr>
      </w:pPr>
      <w:r w:rsidRPr="00543E68">
        <w:rPr>
          <w:lang w:val="en-US" w:eastAsia="zh-CN"/>
        </w:rPr>
        <w:t>Monitoring improvements achieved in data availability and quality using the WDQMS webtool.</w:t>
      </w:r>
    </w:p>
    <w:p w14:paraId="237C473F" w14:textId="77777777" w:rsidR="00543E68" w:rsidRPr="00543E68" w:rsidRDefault="00543E68" w:rsidP="00FC74CA">
      <w:pPr>
        <w:pStyle w:val="ListParagraph"/>
        <w:numPr>
          <w:ilvl w:val="1"/>
          <w:numId w:val="15"/>
        </w:numPr>
        <w:rPr>
          <w:rFonts w:ascii="Calibri" w:eastAsia="DengXian" w:hAnsi="Calibri" w:cs="Arial"/>
          <w:lang w:val="en-US" w:eastAsia="zh-CN"/>
        </w:rPr>
      </w:pPr>
      <w:r w:rsidRPr="00543E68">
        <w:rPr>
          <w:lang w:val="en-US" w:eastAsia="zh-CN"/>
        </w:rPr>
        <w:t>Updating incident ticket status in the Incident Management System.</w:t>
      </w:r>
    </w:p>
    <w:p w14:paraId="71C607C9" w14:textId="77777777" w:rsidR="00543E68" w:rsidRPr="00543E68" w:rsidRDefault="00543E68" w:rsidP="00FC74CA">
      <w:pPr>
        <w:pStyle w:val="Heading1"/>
        <w:rPr>
          <w:rFonts w:eastAsia="DengXian Light"/>
          <w:lang w:val="en-US" w:eastAsia="zh-CN"/>
        </w:rPr>
      </w:pPr>
      <w:r w:rsidRPr="00543E68">
        <w:rPr>
          <w:rFonts w:eastAsia="DengXian Light"/>
          <w:lang w:val="en-US" w:eastAsia="zh-CN"/>
        </w:rPr>
        <w:t>Collaboration during the compliance phase</w:t>
      </w:r>
    </w:p>
    <w:p w14:paraId="707AF0A2" w14:textId="240E129D" w:rsidR="00E33823" w:rsidRPr="00543E68" w:rsidRDefault="00543E68" w:rsidP="00543E68">
      <w:pPr>
        <w:rPr>
          <w:lang w:val="en-US" w:eastAsia="zh-CN"/>
        </w:rPr>
      </w:pPr>
      <w:r w:rsidRPr="00543E68">
        <w:rPr>
          <w:lang w:val="en-US" w:eastAsia="zh-CN"/>
        </w:rPr>
        <w:t>To be defined once the GBON compliance framework is available.</w:t>
      </w:r>
    </w:p>
    <w:sectPr w:rsidR="00E33823" w:rsidRPr="00543E68" w:rsidSect="00181207">
      <w:headerReference w:type="default" r:id="rId14"/>
      <w:footerReference w:type="even" r:id="rId15"/>
      <w:footerReference w:type="default" r:id="rId16"/>
      <w:footerReference w:type="first" r:id="rId17"/>
      <w:pgSz w:w="11906" w:h="16838"/>
      <w:pgMar w:top="1440" w:right="1440" w:bottom="1440" w:left="144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DE6F" w14:textId="77777777" w:rsidR="00AA123F" w:rsidRDefault="00AA123F" w:rsidP="00BB7D83">
      <w:pPr>
        <w:spacing w:after="0" w:line="240" w:lineRule="auto"/>
      </w:pPr>
      <w:r>
        <w:separator/>
      </w:r>
    </w:p>
  </w:endnote>
  <w:endnote w:type="continuationSeparator" w:id="0">
    <w:p w14:paraId="210418AB" w14:textId="77777777" w:rsidR="00AA123F" w:rsidRDefault="00AA123F" w:rsidP="00BB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290374"/>
      <w:docPartObj>
        <w:docPartGallery w:val="Page Numbers (Bottom of Page)"/>
        <w:docPartUnique/>
      </w:docPartObj>
    </w:sdtPr>
    <w:sdtContent>
      <w:p w14:paraId="180DEB05" w14:textId="6DE6687E"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1F8E4" w14:textId="77777777" w:rsidR="00BB7D83" w:rsidRDefault="00BB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174835"/>
      <w:docPartObj>
        <w:docPartGallery w:val="Page Numbers (Bottom of Page)"/>
        <w:docPartUnique/>
      </w:docPartObj>
    </w:sdtPr>
    <w:sdtContent>
      <w:p w14:paraId="46A78F87" w14:textId="3BFBD3EA"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C37D9B" w14:textId="77777777" w:rsidR="00BB7D83" w:rsidRDefault="00BB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169322"/>
      <w:docPartObj>
        <w:docPartGallery w:val="Page Numbers (Bottom of Page)"/>
        <w:docPartUnique/>
      </w:docPartObj>
    </w:sdtPr>
    <w:sdtContent>
      <w:p w14:paraId="5BBDE43D" w14:textId="0A703EFB" w:rsidR="00BB7D83" w:rsidRDefault="00BB7D83" w:rsidP="00602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07C867" w14:textId="088EE67B" w:rsidR="00BB7D83" w:rsidRDefault="00BB7D8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35ED" w14:textId="77777777" w:rsidR="00AA123F" w:rsidRDefault="00AA123F" w:rsidP="00BB7D83">
      <w:pPr>
        <w:spacing w:after="0" w:line="240" w:lineRule="auto"/>
      </w:pPr>
      <w:r>
        <w:separator/>
      </w:r>
    </w:p>
  </w:footnote>
  <w:footnote w:type="continuationSeparator" w:id="0">
    <w:p w14:paraId="492C5541" w14:textId="77777777" w:rsidR="00AA123F" w:rsidRDefault="00AA123F" w:rsidP="00BB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0FDD" w14:textId="18D4AA4D" w:rsidR="009C685A" w:rsidRDefault="008B0BCF">
    <w:pPr>
      <w:pStyle w:val="Header"/>
    </w:pPr>
    <w:r>
      <w:rPr>
        <w:noProof/>
      </w:rPr>
      <w:drawing>
        <wp:anchor distT="0" distB="0" distL="114300" distR="114300" simplePos="0" relativeHeight="251658240" behindDoc="0" locked="0" layoutInCell="1" allowOverlap="1" wp14:anchorId="3195F8B5" wp14:editId="0F10D3CE">
          <wp:simplePos x="0" y="0"/>
          <wp:positionH relativeFrom="column">
            <wp:posOffset>2156</wp:posOffset>
          </wp:positionH>
          <wp:positionV relativeFrom="paragraph">
            <wp:posOffset>-411421</wp:posOffset>
          </wp:positionV>
          <wp:extent cx="1257300" cy="308504"/>
          <wp:effectExtent l="0" t="0" r="0" b="0"/>
          <wp:wrapNone/>
          <wp:docPr id="6" name="Picture 6"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3085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64B"/>
    <w:multiLevelType w:val="hybridMultilevel"/>
    <w:tmpl w:val="34F8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46658"/>
    <w:multiLevelType w:val="hybridMultilevel"/>
    <w:tmpl w:val="509E3BD0"/>
    <w:lvl w:ilvl="0" w:tplc="6DF4C4DE">
      <w:start w:val="1"/>
      <w:numFmt w:val="bullet"/>
      <w:lvlText w:val=""/>
      <w:lvlJc w:val="left"/>
      <w:pPr>
        <w:ind w:left="7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062AA5"/>
    <w:multiLevelType w:val="multilevel"/>
    <w:tmpl w:val="C408F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F5656FB"/>
    <w:multiLevelType w:val="hybridMultilevel"/>
    <w:tmpl w:val="358CC7B6"/>
    <w:lvl w:ilvl="0" w:tplc="2000000F">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104B63"/>
    <w:multiLevelType w:val="hybridMultilevel"/>
    <w:tmpl w:val="2EB8D6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0106002"/>
    <w:multiLevelType w:val="hybridMultilevel"/>
    <w:tmpl w:val="7FFC781C"/>
    <w:lvl w:ilvl="0" w:tplc="D22470CC">
      <w:start w:val="1"/>
      <w:numFmt w:val="bullet"/>
      <w:pStyle w:val="ListParagraph"/>
      <w:lvlText w:val=""/>
      <w:lvlJc w:val="left"/>
      <w:pPr>
        <w:ind w:left="851" w:hanging="397"/>
      </w:pPr>
      <w:rPr>
        <w:rFonts w:ascii="Symbol" w:hAnsi="Symbol" w:hint="default"/>
      </w:rPr>
    </w:lvl>
    <w:lvl w:ilvl="1" w:tplc="0B46DE06">
      <w:start w:val="1"/>
      <w:numFmt w:val="bullet"/>
      <w:lvlText w:val="o"/>
      <w:lvlJc w:val="left"/>
      <w:pPr>
        <w:ind w:left="1304" w:hanging="453"/>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C0E04BD"/>
    <w:multiLevelType w:val="hybridMultilevel"/>
    <w:tmpl w:val="5F7CAB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F936DE7"/>
    <w:multiLevelType w:val="hybridMultilevel"/>
    <w:tmpl w:val="A03828AC"/>
    <w:lvl w:ilvl="0" w:tplc="200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695CB8"/>
    <w:multiLevelType w:val="hybridMultilevel"/>
    <w:tmpl w:val="987C6FCE"/>
    <w:lvl w:ilvl="0" w:tplc="20000003">
      <w:start w:val="1"/>
      <w:numFmt w:val="bullet"/>
      <w:lvlText w:val="o"/>
      <w:lvlJc w:val="left"/>
      <w:pPr>
        <w:ind w:left="1004" w:hanging="360"/>
      </w:pPr>
      <w:rPr>
        <w:rFonts w:ascii="Courier New" w:hAnsi="Courier New" w:cs="Courier New"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9" w15:restartNumberingAfterBreak="0">
    <w:nsid w:val="5FAD4983"/>
    <w:multiLevelType w:val="hybridMultilevel"/>
    <w:tmpl w:val="356C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147C16"/>
    <w:multiLevelType w:val="multilevel"/>
    <w:tmpl w:val="3D343F08"/>
    <w:styleLink w:val="CurrentList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55B1BAA"/>
    <w:multiLevelType w:val="hybridMultilevel"/>
    <w:tmpl w:val="1CFAEB54"/>
    <w:lvl w:ilvl="0" w:tplc="20000003">
      <w:start w:val="1"/>
      <w:numFmt w:val="bullet"/>
      <w:lvlText w:val="o"/>
      <w:lvlJc w:val="left"/>
      <w:pPr>
        <w:ind w:left="1004" w:hanging="360"/>
      </w:pPr>
      <w:rPr>
        <w:rFonts w:ascii="Courier New" w:hAnsi="Courier New" w:cs="Courier New"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2" w15:restartNumberingAfterBreak="0">
    <w:nsid w:val="662B5290"/>
    <w:multiLevelType w:val="hybridMultilevel"/>
    <w:tmpl w:val="2E40C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817011B"/>
    <w:multiLevelType w:val="multilevel"/>
    <w:tmpl w:val="83A01C6A"/>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BFB4F29"/>
    <w:multiLevelType w:val="hybridMultilevel"/>
    <w:tmpl w:val="2AB4B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3638DF"/>
    <w:multiLevelType w:val="hybridMultilevel"/>
    <w:tmpl w:val="D58AB09A"/>
    <w:lvl w:ilvl="0" w:tplc="FFFFFFFF">
      <w:start w:val="1"/>
      <w:numFmt w:val="bullet"/>
      <w:lvlText w:val=""/>
      <w:lvlJc w:val="left"/>
      <w:pPr>
        <w:ind w:left="851" w:hanging="397"/>
      </w:pPr>
      <w:rPr>
        <w:rFonts w:ascii="Symbol" w:hAnsi="Symbol" w:hint="default"/>
      </w:rPr>
    </w:lvl>
    <w:lvl w:ilvl="1" w:tplc="127EE004">
      <w:start w:val="1"/>
      <w:numFmt w:val="bullet"/>
      <w:lvlText w:val="o"/>
      <w:lvlJc w:val="left"/>
      <w:pPr>
        <w:ind w:left="1304" w:hanging="453"/>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560051">
    <w:abstractNumId w:val="9"/>
  </w:num>
  <w:num w:numId="2" w16cid:durableId="839730988">
    <w:abstractNumId w:val="2"/>
  </w:num>
  <w:num w:numId="3" w16cid:durableId="354577514">
    <w:abstractNumId w:val="13"/>
  </w:num>
  <w:num w:numId="4" w16cid:durableId="1360200760">
    <w:abstractNumId w:val="0"/>
  </w:num>
  <w:num w:numId="5" w16cid:durableId="1667398404">
    <w:abstractNumId w:val="1"/>
  </w:num>
  <w:num w:numId="6" w16cid:durableId="970983438">
    <w:abstractNumId w:val="10"/>
  </w:num>
  <w:num w:numId="7" w16cid:durableId="1740784026">
    <w:abstractNumId w:val="14"/>
  </w:num>
  <w:num w:numId="8" w16cid:durableId="2067290529">
    <w:abstractNumId w:val="7"/>
  </w:num>
  <w:num w:numId="9" w16cid:durableId="1163665570">
    <w:abstractNumId w:val="4"/>
  </w:num>
  <w:num w:numId="10" w16cid:durableId="683673481">
    <w:abstractNumId w:val="6"/>
  </w:num>
  <w:num w:numId="11" w16cid:durableId="165486342">
    <w:abstractNumId w:val="12"/>
  </w:num>
  <w:num w:numId="12" w16cid:durableId="1362516077">
    <w:abstractNumId w:val="3"/>
  </w:num>
  <w:num w:numId="13" w16cid:durableId="1251088477">
    <w:abstractNumId w:val="11"/>
  </w:num>
  <w:num w:numId="14" w16cid:durableId="1788888991">
    <w:abstractNumId w:val="8"/>
  </w:num>
  <w:num w:numId="15" w16cid:durableId="1886677128">
    <w:abstractNumId w:val="5"/>
  </w:num>
  <w:num w:numId="16" w16cid:durableId="153375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8F"/>
    <w:rsid w:val="0002637B"/>
    <w:rsid w:val="000C04FA"/>
    <w:rsid w:val="000E4E46"/>
    <w:rsid w:val="001464C8"/>
    <w:rsid w:val="0014750B"/>
    <w:rsid w:val="00181207"/>
    <w:rsid w:val="001B4814"/>
    <w:rsid w:val="0020152F"/>
    <w:rsid w:val="00256EC6"/>
    <w:rsid w:val="00266DAD"/>
    <w:rsid w:val="002A7C29"/>
    <w:rsid w:val="002E0D49"/>
    <w:rsid w:val="002E17F0"/>
    <w:rsid w:val="00326352"/>
    <w:rsid w:val="0037315A"/>
    <w:rsid w:val="003B0A67"/>
    <w:rsid w:val="003F1C8A"/>
    <w:rsid w:val="0045776A"/>
    <w:rsid w:val="004B0B74"/>
    <w:rsid w:val="004D63FC"/>
    <w:rsid w:val="005324AB"/>
    <w:rsid w:val="00543E68"/>
    <w:rsid w:val="00554665"/>
    <w:rsid w:val="00601397"/>
    <w:rsid w:val="006643D1"/>
    <w:rsid w:val="006837E4"/>
    <w:rsid w:val="007A3663"/>
    <w:rsid w:val="007B6380"/>
    <w:rsid w:val="008B0BCF"/>
    <w:rsid w:val="0091073C"/>
    <w:rsid w:val="009C685A"/>
    <w:rsid w:val="00A244C3"/>
    <w:rsid w:val="00A76CC1"/>
    <w:rsid w:val="00AA123F"/>
    <w:rsid w:val="00AB26C6"/>
    <w:rsid w:val="00B03950"/>
    <w:rsid w:val="00B17783"/>
    <w:rsid w:val="00B60ADD"/>
    <w:rsid w:val="00B764DF"/>
    <w:rsid w:val="00B90FAA"/>
    <w:rsid w:val="00BB7D83"/>
    <w:rsid w:val="00C54ADD"/>
    <w:rsid w:val="00C9489F"/>
    <w:rsid w:val="00CF148F"/>
    <w:rsid w:val="00CF6A46"/>
    <w:rsid w:val="00D546C9"/>
    <w:rsid w:val="00D83701"/>
    <w:rsid w:val="00D86EBE"/>
    <w:rsid w:val="00DC5D34"/>
    <w:rsid w:val="00E33823"/>
    <w:rsid w:val="00E443BB"/>
    <w:rsid w:val="00EE094B"/>
    <w:rsid w:val="00EF2B68"/>
    <w:rsid w:val="00F7786F"/>
    <w:rsid w:val="00FC0BE3"/>
    <w:rsid w:val="00FC520E"/>
    <w:rsid w:val="00FC74CA"/>
    <w:rsid w:val="1C9429DF"/>
    <w:rsid w:val="60A3F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8E000"/>
  <w15:chartTrackingRefBased/>
  <w15:docId w15:val="{1DD119C8-9A9C-D343-978A-A008000B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F0"/>
    <w:pPr>
      <w:spacing w:after="160" w:line="259" w:lineRule="auto"/>
      <w:jc w:val="both"/>
    </w:pPr>
    <w:rPr>
      <w:rFonts w:ascii="Open Sans" w:hAnsi="Open Sans"/>
      <w:sz w:val="22"/>
    </w:rPr>
  </w:style>
  <w:style w:type="paragraph" w:styleId="Heading1">
    <w:name w:val="heading 1"/>
    <w:basedOn w:val="Normal"/>
    <w:next w:val="Normal"/>
    <w:link w:val="Heading1Char"/>
    <w:uiPriority w:val="9"/>
    <w:qFormat/>
    <w:rsid w:val="002E0D49"/>
    <w:pPr>
      <w:keepNext/>
      <w:keepLines/>
      <w:numPr>
        <w:numId w:val="2"/>
      </w:numPr>
      <w:spacing w:before="160" w:after="120"/>
      <w:jc w:val="left"/>
      <w:outlineLvl w:val="0"/>
    </w:pPr>
    <w:rPr>
      <w:rFonts w:eastAsiaTheme="majorEastAsia" w:cstheme="majorBidi"/>
      <w:b/>
      <w:color w:val="185980"/>
      <w:sz w:val="28"/>
      <w:szCs w:val="32"/>
    </w:rPr>
  </w:style>
  <w:style w:type="paragraph" w:styleId="Heading2">
    <w:name w:val="heading 2"/>
    <w:basedOn w:val="Normal"/>
    <w:next w:val="Normal"/>
    <w:link w:val="Heading2Char"/>
    <w:uiPriority w:val="9"/>
    <w:unhideWhenUsed/>
    <w:qFormat/>
    <w:rsid w:val="002E0D49"/>
    <w:pPr>
      <w:keepNext/>
      <w:keepLines/>
      <w:numPr>
        <w:ilvl w:val="1"/>
        <w:numId w:val="2"/>
      </w:numPr>
      <w:spacing w:before="120" w:after="120"/>
      <w:jc w:val="left"/>
      <w:outlineLvl w:val="1"/>
    </w:pPr>
    <w:rPr>
      <w:rFonts w:eastAsiaTheme="majorEastAsia" w:cstheme="majorBidi"/>
      <w:b/>
      <w:color w:val="185980"/>
      <w:szCs w:val="26"/>
    </w:rPr>
  </w:style>
  <w:style w:type="paragraph" w:styleId="Heading3">
    <w:name w:val="heading 3"/>
    <w:basedOn w:val="Normal"/>
    <w:next w:val="Normal"/>
    <w:link w:val="Heading3Char"/>
    <w:uiPriority w:val="9"/>
    <w:unhideWhenUsed/>
    <w:qFormat/>
    <w:rsid w:val="003F1C8A"/>
    <w:pPr>
      <w:keepNext/>
      <w:keepLines/>
      <w:numPr>
        <w:ilvl w:val="2"/>
        <w:numId w:val="2"/>
      </w:numPr>
      <w:spacing w:before="40"/>
      <w:outlineLvl w:val="2"/>
    </w:pPr>
    <w:rPr>
      <w:rFonts w:eastAsiaTheme="majorEastAsia" w:cstheme="majorBidi"/>
      <w:color w:val="185980"/>
    </w:rPr>
  </w:style>
  <w:style w:type="paragraph" w:styleId="Heading4">
    <w:name w:val="heading 4"/>
    <w:basedOn w:val="Normal"/>
    <w:next w:val="Normal"/>
    <w:link w:val="Heading4Char"/>
    <w:uiPriority w:val="9"/>
    <w:semiHidden/>
    <w:unhideWhenUsed/>
    <w:qFormat/>
    <w:rsid w:val="003F1C8A"/>
    <w:pPr>
      <w:keepNext/>
      <w:keepLines/>
      <w:numPr>
        <w:ilvl w:val="3"/>
        <w:numId w:val="2"/>
      </w:numPr>
      <w:spacing w:before="40"/>
      <w:outlineLvl w:val="3"/>
    </w:pPr>
    <w:rPr>
      <w:rFonts w:eastAsiaTheme="majorEastAsia" w:cstheme="majorBidi"/>
      <w:i/>
      <w:iCs/>
      <w:color w:val="185980"/>
    </w:rPr>
  </w:style>
  <w:style w:type="paragraph" w:styleId="Heading5">
    <w:name w:val="heading 5"/>
    <w:basedOn w:val="Normal"/>
    <w:next w:val="Normal"/>
    <w:link w:val="Heading5Char"/>
    <w:uiPriority w:val="9"/>
    <w:semiHidden/>
    <w:unhideWhenUsed/>
    <w:qFormat/>
    <w:rsid w:val="00CF148F"/>
    <w:pPr>
      <w:keepNext/>
      <w:keepLines/>
      <w:numPr>
        <w:ilvl w:val="4"/>
        <w:numId w:val="2"/>
      </w:numPr>
      <w:spacing w:before="40"/>
      <w:outlineLvl w:val="4"/>
    </w:pPr>
    <w:rPr>
      <w:rFonts w:asciiTheme="majorHAnsi" w:eastAsiaTheme="majorEastAsia" w:hAnsiTheme="majorHAnsi" w:cstheme="majorBidi"/>
      <w:color w:val="15263E" w:themeColor="accent1" w:themeShade="BF"/>
    </w:rPr>
  </w:style>
  <w:style w:type="paragraph" w:styleId="Heading6">
    <w:name w:val="heading 6"/>
    <w:basedOn w:val="Normal"/>
    <w:next w:val="Normal"/>
    <w:link w:val="Heading6Char"/>
    <w:uiPriority w:val="9"/>
    <w:semiHidden/>
    <w:unhideWhenUsed/>
    <w:qFormat/>
    <w:rsid w:val="00CF148F"/>
    <w:pPr>
      <w:keepNext/>
      <w:keepLines/>
      <w:numPr>
        <w:ilvl w:val="5"/>
        <w:numId w:val="2"/>
      </w:numPr>
      <w:spacing w:before="40"/>
      <w:outlineLvl w:val="5"/>
    </w:pPr>
    <w:rPr>
      <w:rFonts w:asciiTheme="majorHAnsi" w:eastAsiaTheme="majorEastAsia" w:hAnsiTheme="majorHAnsi" w:cstheme="majorBidi"/>
      <w:color w:val="0E1929" w:themeColor="accent1" w:themeShade="7F"/>
    </w:rPr>
  </w:style>
  <w:style w:type="paragraph" w:styleId="Heading7">
    <w:name w:val="heading 7"/>
    <w:basedOn w:val="Normal"/>
    <w:next w:val="Normal"/>
    <w:link w:val="Heading7Char"/>
    <w:uiPriority w:val="9"/>
    <w:semiHidden/>
    <w:unhideWhenUsed/>
    <w:qFormat/>
    <w:rsid w:val="00CF148F"/>
    <w:pPr>
      <w:keepNext/>
      <w:keepLines/>
      <w:numPr>
        <w:ilvl w:val="6"/>
        <w:numId w:val="2"/>
      </w:numPr>
      <w:spacing w:before="40"/>
      <w:outlineLvl w:val="6"/>
    </w:pPr>
    <w:rPr>
      <w:rFonts w:asciiTheme="majorHAnsi" w:eastAsiaTheme="majorEastAsia" w:hAnsiTheme="majorHAnsi" w:cstheme="majorBidi"/>
      <w:i/>
      <w:iCs/>
      <w:color w:val="0E1929" w:themeColor="accent1" w:themeShade="7F"/>
    </w:rPr>
  </w:style>
  <w:style w:type="paragraph" w:styleId="Heading8">
    <w:name w:val="heading 8"/>
    <w:basedOn w:val="Normal"/>
    <w:next w:val="Normal"/>
    <w:link w:val="Heading8Char"/>
    <w:uiPriority w:val="9"/>
    <w:semiHidden/>
    <w:unhideWhenUsed/>
    <w:qFormat/>
    <w:rsid w:val="00CF148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48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49"/>
    <w:rPr>
      <w:rFonts w:ascii="Segoe UI" w:eastAsiaTheme="majorEastAsia" w:hAnsi="Segoe UI" w:cstheme="majorBidi"/>
      <w:b/>
      <w:color w:val="185980"/>
      <w:sz w:val="28"/>
      <w:szCs w:val="32"/>
      <w:lang w:val="en-GB"/>
    </w:rPr>
  </w:style>
  <w:style w:type="paragraph" w:styleId="ListParagraph">
    <w:name w:val="List Paragraph"/>
    <w:basedOn w:val="Normal"/>
    <w:uiPriority w:val="34"/>
    <w:qFormat/>
    <w:rsid w:val="00B764DF"/>
    <w:pPr>
      <w:numPr>
        <w:numId w:val="15"/>
      </w:numPr>
    </w:pPr>
  </w:style>
  <w:style w:type="table" w:styleId="TableGrid">
    <w:name w:val="Table Grid"/>
    <w:basedOn w:val="TableNormal"/>
    <w:uiPriority w:val="39"/>
    <w:rsid w:val="00CF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0D49"/>
    <w:rPr>
      <w:rFonts w:ascii="Segoe UI" w:eastAsiaTheme="majorEastAsia" w:hAnsi="Segoe UI" w:cstheme="majorBidi"/>
      <w:b/>
      <w:color w:val="185980"/>
      <w:sz w:val="22"/>
      <w:szCs w:val="26"/>
      <w:lang w:val="en-GB"/>
    </w:rPr>
  </w:style>
  <w:style w:type="character" w:customStyle="1" w:styleId="Heading3Char">
    <w:name w:val="Heading 3 Char"/>
    <w:basedOn w:val="DefaultParagraphFont"/>
    <w:link w:val="Heading3"/>
    <w:uiPriority w:val="9"/>
    <w:rsid w:val="003F1C8A"/>
    <w:rPr>
      <w:rFonts w:ascii="Segoe UI" w:eastAsiaTheme="majorEastAsia" w:hAnsi="Segoe UI" w:cstheme="majorBidi"/>
      <w:color w:val="185980"/>
      <w:sz w:val="22"/>
      <w:lang w:val="en-GB"/>
    </w:rPr>
  </w:style>
  <w:style w:type="character" w:customStyle="1" w:styleId="Heading4Char">
    <w:name w:val="Heading 4 Char"/>
    <w:basedOn w:val="DefaultParagraphFont"/>
    <w:link w:val="Heading4"/>
    <w:uiPriority w:val="9"/>
    <w:semiHidden/>
    <w:rsid w:val="003F1C8A"/>
    <w:rPr>
      <w:rFonts w:ascii="Segoe UI" w:eastAsiaTheme="majorEastAsia" w:hAnsi="Segoe UI" w:cstheme="majorBidi"/>
      <w:i/>
      <w:iCs/>
      <w:color w:val="185980"/>
      <w:sz w:val="22"/>
      <w:lang w:val="en-GB"/>
    </w:rPr>
  </w:style>
  <w:style w:type="character" w:customStyle="1" w:styleId="Heading5Char">
    <w:name w:val="Heading 5 Char"/>
    <w:basedOn w:val="DefaultParagraphFont"/>
    <w:link w:val="Heading5"/>
    <w:uiPriority w:val="9"/>
    <w:semiHidden/>
    <w:rsid w:val="00CF148F"/>
    <w:rPr>
      <w:rFonts w:asciiTheme="majorHAnsi" w:eastAsiaTheme="majorEastAsia" w:hAnsiTheme="majorHAnsi" w:cstheme="majorBidi"/>
      <w:color w:val="15263E" w:themeColor="accent1" w:themeShade="BF"/>
      <w:lang w:val="en-GB"/>
    </w:rPr>
  </w:style>
  <w:style w:type="character" w:customStyle="1" w:styleId="Heading6Char">
    <w:name w:val="Heading 6 Char"/>
    <w:basedOn w:val="DefaultParagraphFont"/>
    <w:link w:val="Heading6"/>
    <w:uiPriority w:val="9"/>
    <w:semiHidden/>
    <w:rsid w:val="00CF148F"/>
    <w:rPr>
      <w:rFonts w:asciiTheme="majorHAnsi" w:eastAsiaTheme="majorEastAsia" w:hAnsiTheme="majorHAnsi" w:cstheme="majorBidi"/>
      <w:color w:val="0E1929" w:themeColor="accent1" w:themeShade="7F"/>
      <w:lang w:val="en-GB"/>
    </w:rPr>
  </w:style>
  <w:style w:type="character" w:customStyle="1" w:styleId="Heading7Char">
    <w:name w:val="Heading 7 Char"/>
    <w:basedOn w:val="DefaultParagraphFont"/>
    <w:link w:val="Heading7"/>
    <w:uiPriority w:val="9"/>
    <w:semiHidden/>
    <w:rsid w:val="00CF148F"/>
    <w:rPr>
      <w:rFonts w:asciiTheme="majorHAnsi" w:eastAsiaTheme="majorEastAsia" w:hAnsiTheme="majorHAnsi" w:cstheme="majorBidi"/>
      <w:i/>
      <w:iCs/>
      <w:color w:val="0E1929" w:themeColor="accent1" w:themeShade="7F"/>
      <w:lang w:val="en-GB"/>
    </w:rPr>
  </w:style>
  <w:style w:type="character" w:customStyle="1" w:styleId="Heading8Char">
    <w:name w:val="Heading 8 Char"/>
    <w:basedOn w:val="DefaultParagraphFont"/>
    <w:link w:val="Heading8"/>
    <w:uiPriority w:val="9"/>
    <w:semiHidden/>
    <w:rsid w:val="00CF148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F148F"/>
    <w:rPr>
      <w:rFonts w:asciiTheme="majorHAnsi" w:eastAsiaTheme="majorEastAsia" w:hAnsiTheme="majorHAnsi" w:cstheme="majorBidi"/>
      <w:i/>
      <w:iCs/>
      <w:color w:val="272727" w:themeColor="text1" w:themeTint="D8"/>
      <w:sz w:val="21"/>
      <w:szCs w:val="21"/>
      <w:lang w:val="en-GB"/>
    </w:rPr>
  </w:style>
  <w:style w:type="numbering" w:customStyle="1" w:styleId="CurrentList1">
    <w:name w:val="Current List1"/>
    <w:uiPriority w:val="99"/>
    <w:rsid w:val="00CF148F"/>
    <w:pPr>
      <w:numPr>
        <w:numId w:val="3"/>
      </w:numPr>
    </w:pPr>
  </w:style>
  <w:style w:type="paragraph" w:customStyle="1" w:styleId="TableHeading">
    <w:name w:val="Table Heading"/>
    <w:basedOn w:val="Normal"/>
    <w:qFormat/>
    <w:rsid w:val="0014750B"/>
    <w:pPr>
      <w:spacing w:after="0"/>
    </w:pPr>
    <w:rPr>
      <w:b/>
      <w:color w:val="FFFFFF" w:themeColor="background1"/>
    </w:rPr>
  </w:style>
  <w:style w:type="paragraph" w:customStyle="1" w:styleId="DecisionHeading">
    <w:name w:val="Decision Heading"/>
    <w:basedOn w:val="Normal"/>
    <w:qFormat/>
    <w:rsid w:val="002E17F0"/>
    <w:pPr>
      <w:spacing w:after="0" w:line="240" w:lineRule="auto"/>
    </w:pPr>
    <w:rPr>
      <w:b/>
      <w:color w:val="185980"/>
    </w:rPr>
  </w:style>
  <w:style w:type="paragraph" w:styleId="Header">
    <w:name w:val="header"/>
    <w:basedOn w:val="Normal"/>
    <w:link w:val="HeaderChar"/>
    <w:uiPriority w:val="99"/>
    <w:unhideWhenUsed/>
    <w:rsid w:val="00BB7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D83"/>
    <w:rPr>
      <w:rFonts w:ascii="Segoe UI" w:hAnsi="Segoe UI"/>
      <w:sz w:val="22"/>
      <w:lang w:val="en-GB"/>
    </w:rPr>
  </w:style>
  <w:style w:type="paragraph" w:styleId="Footer">
    <w:name w:val="footer"/>
    <w:basedOn w:val="Normal"/>
    <w:link w:val="FooterChar"/>
    <w:uiPriority w:val="99"/>
    <w:unhideWhenUsed/>
    <w:rsid w:val="00BB7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D83"/>
    <w:rPr>
      <w:rFonts w:ascii="Segoe UI" w:hAnsi="Segoe UI"/>
      <w:sz w:val="22"/>
      <w:lang w:val="en-GB"/>
    </w:rPr>
  </w:style>
  <w:style w:type="character" w:styleId="PageNumber">
    <w:name w:val="page number"/>
    <w:basedOn w:val="DefaultParagraphFont"/>
    <w:uiPriority w:val="99"/>
    <w:semiHidden/>
    <w:unhideWhenUsed/>
    <w:rsid w:val="00BB7D83"/>
  </w:style>
  <w:style w:type="paragraph" w:customStyle="1" w:styleId="TableofContentsHeading">
    <w:name w:val="Table of Contents Heading"/>
    <w:basedOn w:val="Normal"/>
    <w:qFormat/>
    <w:rsid w:val="00D86EBE"/>
    <w:pPr>
      <w:spacing w:after="0" w:line="240" w:lineRule="auto"/>
    </w:pPr>
    <w:rPr>
      <w:b/>
      <w:color w:val="185980"/>
      <w:sz w:val="36"/>
    </w:rPr>
  </w:style>
  <w:style w:type="character" w:styleId="Hyperlink">
    <w:name w:val="Hyperlink"/>
    <w:basedOn w:val="DefaultParagraphFont"/>
    <w:uiPriority w:val="99"/>
    <w:unhideWhenUsed/>
    <w:rsid w:val="00BB7D83"/>
    <w:rPr>
      <w:color w:val="18587F" w:themeColor="hyperlink"/>
      <w:u w:val="single"/>
    </w:rPr>
  </w:style>
  <w:style w:type="character" w:styleId="SubtleEmphasis">
    <w:name w:val="Subtle Emphasis"/>
    <w:basedOn w:val="DefaultParagraphFont"/>
    <w:uiPriority w:val="19"/>
    <w:qFormat/>
    <w:rsid w:val="002E17F0"/>
    <w:rPr>
      <w:rFonts w:ascii="Open Sans" w:hAnsi="Open Sans"/>
      <w:i/>
      <w:iCs/>
      <w:color w:val="404040" w:themeColor="text1" w:themeTint="BF"/>
    </w:rPr>
  </w:style>
  <w:style w:type="character" w:styleId="Emphasis">
    <w:name w:val="Emphasis"/>
    <w:basedOn w:val="DefaultParagraphFont"/>
    <w:uiPriority w:val="20"/>
    <w:qFormat/>
    <w:rsid w:val="002E17F0"/>
    <w:rPr>
      <w:rFonts w:ascii="Open Sans" w:hAnsi="Open Sans"/>
      <w:i/>
      <w:iCs/>
    </w:rPr>
  </w:style>
  <w:style w:type="paragraph" w:styleId="Subtitle">
    <w:name w:val="Subtitle"/>
    <w:aliases w:val="Subtitle Decision"/>
    <w:basedOn w:val="Normal"/>
    <w:next w:val="Normal"/>
    <w:link w:val="SubtitleChar"/>
    <w:uiPriority w:val="11"/>
    <w:qFormat/>
    <w:rsid w:val="00B90FAA"/>
    <w:pPr>
      <w:numPr>
        <w:ilvl w:val="1"/>
      </w:numPr>
    </w:pPr>
    <w:rPr>
      <w:rFonts w:eastAsiaTheme="minorEastAsia"/>
      <w:color w:val="1C3453"/>
      <w:spacing w:val="15"/>
      <w:sz w:val="48"/>
      <w:szCs w:val="22"/>
    </w:rPr>
  </w:style>
  <w:style w:type="character" w:customStyle="1" w:styleId="SubtitleChar">
    <w:name w:val="Subtitle Char"/>
    <w:aliases w:val="Subtitle Decision Char"/>
    <w:basedOn w:val="DefaultParagraphFont"/>
    <w:link w:val="Subtitle"/>
    <w:uiPriority w:val="11"/>
    <w:rsid w:val="00B90FAA"/>
    <w:rPr>
      <w:rFonts w:ascii="Segoe UI" w:eastAsiaTheme="minorEastAsia" w:hAnsi="Segoe UI"/>
      <w:color w:val="1C3453"/>
      <w:spacing w:val="15"/>
      <w:sz w:val="48"/>
      <w:szCs w:val="22"/>
      <w:lang w:val="en-GB"/>
    </w:rPr>
  </w:style>
  <w:style w:type="paragraph" w:customStyle="1" w:styleId="TableText">
    <w:name w:val="Table Text"/>
    <w:basedOn w:val="Normal"/>
    <w:qFormat/>
    <w:rsid w:val="00A76CC1"/>
    <w:pPr>
      <w:spacing w:after="0" w:line="240" w:lineRule="auto"/>
      <w:jc w:val="left"/>
    </w:pPr>
  </w:style>
  <w:style w:type="paragraph" w:styleId="Title">
    <w:name w:val="Title"/>
    <w:aliases w:val="Cover Page_Title"/>
    <w:basedOn w:val="Normal"/>
    <w:next w:val="Normal"/>
    <w:link w:val="TitleChar"/>
    <w:uiPriority w:val="10"/>
    <w:qFormat/>
    <w:rsid w:val="003F1C8A"/>
    <w:pPr>
      <w:spacing w:after="0" w:line="240" w:lineRule="auto"/>
      <w:contextualSpacing/>
    </w:pPr>
    <w:rPr>
      <w:rFonts w:eastAsiaTheme="majorEastAsia" w:cstheme="majorBidi"/>
      <w:b/>
      <w:color w:val="1C3453"/>
      <w:spacing w:val="-10"/>
      <w:kern w:val="28"/>
      <w:sz w:val="48"/>
      <w:szCs w:val="56"/>
    </w:rPr>
  </w:style>
  <w:style w:type="character" w:customStyle="1" w:styleId="TitleChar">
    <w:name w:val="Title Char"/>
    <w:aliases w:val="Cover Page_Title Char"/>
    <w:basedOn w:val="DefaultParagraphFont"/>
    <w:link w:val="Title"/>
    <w:uiPriority w:val="10"/>
    <w:rsid w:val="003F1C8A"/>
    <w:rPr>
      <w:rFonts w:ascii="Segoe UI" w:eastAsiaTheme="majorEastAsia" w:hAnsi="Segoe UI" w:cstheme="majorBidi"/>
      <w:b/>
      <w:color w:val="1C3453"/>
      <w:spacing w:val="-10"/>
      <w:kern w:val="28"/>
      <w:sz w:val="48"/>
      <w:szCs w:val="56"/>
      <w:lang w:val="en-GB"/>
    </w:rPr>
  </w:style>
  <w:style w:type="paragraph" w:customStyle="1" w:styleId="CoverPageSOFF">
    <w:name w:val="Cover Page_SOFF"/>
    <w:basedOn w:val="Normal"/>
    <w:qFormat/>
    <w:rsid w:val="002E17F0"/>
    <w:pPr>
      <w:numPr>
        <w:ilvl w:val="1"/>
      </w:numPr>
      <w:spacing w:after="0" w:line="240" w:lineRule="auto"/>
      <w:jc w:val="left"/>
    </w:pPr>
    <w:rPr>
      <w:rFonts w:eastAsiaTheme="minorEastAsia" w:cs="Segoe UI"/>
      <w:color w:val="1C3453"/>
      <w:spacing w:val="15"/>
      <w:kern w:val="0"/>
      <w:sz w:val="40"/>
      <w:szCs w:val="22"/>
      <w:lang w:val="en-US"/>
      <w14:ligatures w14:val="none"/>
    </w:rPr>
  </w:style>
  <w:style w:type="paragraph" w:customStyle="1" w:styleId="CoverPageMeeting">
    <w:name w:val="Cover Page_Meeting"/>
    <w:basedOn w:val="CoverPageSOFF"/>
    <w:qFormat/>
    <w:rsid w:val="002E17F0"/>
    <w:rPr>
      <w:b/>
      <w:bCs/>
    </w:rPr>
  </w:style>
  <w:style w:type="paragraph" w:styleId="Caption">
    <w:name w:val="caption"/>
    <w:basedOn w:val="Normal"/>
    <w:next w:val="Normal"/>
    <w:uiPriority w:val="35"/>
    <w:unhideWhenUsed/>
    <w:qFormat/>
    <w:rsid w:val="00F7786F"/>
    <w:rPr>
      <w:iCs/>
      <w:color w:val="000000" w:themeColor="text1"/>
      <w:sz w:val="20"/>
      <w:szCs w:val="18"/>
    </w:rPr>
  </w:style>
  <w:style w:type="numbering" w:customStyle="1" w:styleId="CurrentList2">
    <w:name w:val="Current List2"/>
    <w:uiPriority w:val="99"/>
    <w:rsid w:val="00B764DF"/>
    <w:pPr>
      <w:numPr>
        <w:numId w:val="6"/>
      </w:numPr>
    </w:pPr>
  </w:style>
  <w:style w:type="paragraph" w:styleId="NoSpacing">
    <w:name w:val="No Spacing"/>
    <w:uiPriority w:val="1"/>
    <w:qFormat/>
    <w:rsid w:val="002E17F0"/>
    <w:pPr>
      <w:jc w:val="both"/>
    </w:pPr>
    <w:rPr>
      <w:rFonts w:ascii="Open Sans" w:hAnsi="Open Sans"/>
      <w:sz w:val="22"/>
    </w:rPr>
  </w:style>
  <w:style w:type="paragraph" w:styleId="Quote">
    <w:name w:val="Quote"/>
    <w:basedOn w:val="Normal"/>
    <w:next w:val="Normal"/>
    <w:link w:val="QuoteChar"/>
    <w:uiPriority w:val="29"/>
    <w:qFormat/>
    <w:rsid w:val="002E17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17F0"/>
    <w:rPr>
      <w:rFonts w:ascii="Open Sans" w:hAnsi="Open Sans"/>
      <w:i/>
      <w:iCs/>
      <w:color w:val="404040" w:themeColor="text1" w:themeTint="B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dqms-ims@wmo.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unity.wmo.int/en/activity-areas/WIGOS/implementation-WIGOS/Existing-RW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1C3353"/>
      </a:dk2>
      <a:lt2>
        <a:srgbClr val="D9D9D9"/>
      </a:lt2>
      <a:accent1>
        <a:srgbClr val="1C3353"/>
      </a:accent1>
      <a:accent2>
        <a:srgbClr val="185980"/>
      </a:accent2>
      <a:accent3>
        <a:srgbClr val="008B85"/>
      </a:accent3>
      <a:accent4>
        <a:srgbClr val="FFCC4F"/>
      </a:accent4>
      <a:accent5>
        <a:srgbClr val="FF593A"/>
      </a:accent5>
      <a:accent6>
        <a:srgbClr val="8C0108"/>
      </a:accent6>
      <a:hlink>
        <a:srgbClr val="18587F"/>
      </a:hlink>
      <a:folHlink>
        <a:srgbClr val="3332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2" ma:contentTypeDescription="Create a new document." ma:contentTypeScope="" ma:versionID="83a45f6d1f48aceafd31002374e7b68d">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f9fb627d39bfd06869e9279b17c64670"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465f0-9ed0-43de-8189-a8c6f1075a5f">
      <Terms xmlns="http://schemas.microsoft.com/office/infopath/2007/PartnerControls"/>
    </lcf76f155ced4ddcb4097134ff3c332f>
    <TaxCatchAll xmlns="1b00f30f-36d4-4fa1-aff8-52ec48b6e084" xsi:nil="true"/>
    <_Flow_SignoffStatus xmlns="c1a465f0-9ed0-43de-8189-a8c6f1075a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3B465-B5EB-E441-9476-0F195968E9D0}">
  <ds:schemaRefs>
    <ds:schemaRef ds:uri="http://schemas.openxmlformats.org/officeDocument/2006/bibliography"/>
  </ds:schemaRefs>
</ds:datastoreItem>
</file>

<file path=customXml/itemProps2.xml><?xml version="1.0" encoding="utf-8"?>
<ds:datastoreItem xmlns:ds="http://schemas.openxmlformats.org/officeDocument/2006/customXml" ds:itemID="{1C2D6025-5010-44EC-82B4-3D6395BB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F6B6E-6206-47A3-8AA8-4A74D80D560F}">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customXml/itemProps4.xml><?xml version="1.0" encoding="utf-8"?>
<ds:datastoreItem xmlns:ds="http://schemas.openxmlformats.org/officeDocument/2006/customXml" ds:itemID="{B77958F2-681F-4F78-A787-F1C8714F4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Trepczyk</dc:creator>
  <cp:keywords/>
  <dc:description/>
  <cp:lastModifiedBy>Pauline Trepczyk</cp:lastModifiedBy>
  <cp:revision>6</cp:revision>
  <dcterms:created xsi:type="dcterms:W3CDTF">2025-04-25T12:38:00Z</dcterms:created>
  <dcterms:modified xsi:type="dcterms:W3CDTF">2025-05-13T15:57:00Z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